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1583403504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Kreatywne myślenie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Psychologia zdrowia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vertAlign w:val="superscript"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jednolite magisterskie 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□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 rok, semestr letni 2024/2025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3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Seminaria – 20h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3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1"/>
        <w:gridCol w:w="1889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Celem przedmiotu jest uzyskanie teoretycznej i praktycznej wiedzy na temat sposobów twórczego i efektywnego działania oraz rozwiązywania problemów w pracy indywidualnej i zespołowej, a także przedstawienie rozwiązań, mających za zadanie ukształtowanie pozytywnych nawyków, oddziałujących na kreatywność i skuteczność myślenia.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 xml:space="preserve">Wiedza z zakresu nauk społecznych - kompetencje </w:t>
            </w:r>
            <w:r>
              <w:rPr/>
              <w:t xml:space="preserve">bazowe </w:t>
            </w:r>
            <w:r>
              <w:rPr/>
              <w:t>na poziomie szkoły średniej.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doświadczeń, wykazywanie cech lidera i umiejętność prezentowania własnych przemyśleń i wniosków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5"/>
        <w:gridCol w:w="612"/>
        <w:gridCol w:w="611"/>
        <w:gridCol w:w="739"/>
        <w:gridCol w:w="485"/>
        <w:gridCol w:w="611"/>
        <w:gridCol w:w="619"/>
        <w:gridCol w:w="558"/>
        <w:gridCol w:w="2"/>
      </w:tblGrid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40" w:beforeAutospacing="0" w:before="240" w:afterAutospacing="0" w:after="0"/>
              <w:jc w:val="left"/>
              <w:rPr>
                <w:rFonts w:ascii="Times New Roman" w:hAnsi="Times New Roman" w:eastAsia="Times New Roman" w:cs="Times New Roman"/>
                <w:color w:themeColor="text1" w:val="000000"/>
                <w:kern w:val="2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2"/>
                <w:szCs w:val="22"/>
                <w:lang w:val="pl-PL"/>
              </w:rPr>
              <w:t>Wykorzystywać wiedzę na temat zjawisk społecznych i psychologii społecznej na poziomie podstawowym, a także pogłębionym w obszarze wybranych zagadnień w kontekście treningu twórczości i kreatywności.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K_W11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160"/>
              <w:ind w:left="0" w:right="0"/>
              <w:jc w:val="left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Wykorzystywać umiejętności efektywnego komunikowania się oraz negocjacji, obserwacji i samoobserwacji oraz rozwiązywania sytuacji trudnych w konflikcie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K_U14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Zastosować podstawowe reguły poprawnego rozumowania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K_U71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Pracować w zespole, aktywnie uczestniczyć w pracy grup (zespołów) i organizacji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K_K03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Poddaje krytycznej analizie własne poglądy oraz jest gotowy do ich zmiany otrzymując nowe dane i argumenty</w:t>
            </w:r>
          </w:p>
        </w:tc>
        <w:tc>
          <w:tcPr>
            <w:tcW w:w="257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1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0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K_W11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K_U14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K_U71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K_K03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9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8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Seminaria: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Wprowadzenie do treningu twórczości - twórczość a kreatywność; cele i sposoby oddziaływania treningu twórczości.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K_W11, K_U14, K_U71, K_K03, K_K06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59" w:beforeAutospacing="0" w:before="0" w:afterAutospacing="0" w:after="0"/>
              <w:jc w:val="left"/>
              <w:rPr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b w:val="false"/>
                <w:bCs w:val="false"/>
                <w:i/>
                <w:iCs/>
              </w:rPr>
              <w:t>Kreatywna integracja i budowanie twórczej atmosfery – podstawowy trening twórczy.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Twórcze rozwijanie kompetencji komunikacyjnych i kreatywne wykorzystanie środków językowych.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b w:val="false"/>
                <w:bCs w:val="false"/>
                <w:i/>
                <w:iCs/>
              </w:rPr>
              <w:t>Umiejętność znajdowania wyzwań i formułowania problemów w grupie.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Metoda myślenia projektowego.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TK_6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Wybrane ćwiczenia treningu twórczości z zakresu kreacji.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TK_7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Efektywna pomysłowość - inspiracja i potrzeba jako przyczyna kreatywności.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TK_8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Autospacing="0" w:before="280" w:afterAutospacing="0" w:after="0"/>
              <w:jc w:val="left"/>
              <w:rPr/>
            </w:pPr>
            <w:r>
              <w:rPr>
                <w:rFonts w:eastAsia="Times New Roman" w:cs="Times New Roman"/>
                <w:i/>
                <w:iCs/>
                <w:color w:themeColor="text1" w:val="000000"/>
                <w:sz w:val="24"/>
                <w:szCs w:val="24"/>
                <w:lang w:val="pl-PL"/>
              </w:rPr>
              <w:t>Nawyk jako droga do efektywności - zasady zarządzania pracą kreatywną.</w:t>
            </w:r>
          </w:p>
        </w:tc>
        <w:tc>
          <w:tcPr>
            <w:tcW w:w="13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w.</w:t>
            </w:r>
            <w:r>
              <w:rPr>
                <w:rFonts w:eastAsia="Calibri"/>
                <w:i w:val="false"/>
                <w:iCs w:val="false"/>
                <w:lang w:eastAsia="en-US"/>
              </w:rPr>
              <w:t>;</w:t>
            </w: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 w:val="false"/>
                <w:iCs w:val="false"/>
                <w:lang w:eastAsia="en-US"/>
              </w:rPr>
              <w:t>Wydawnictwo Naukowe PWN SA, Warszawa 2023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Burska K., Cieśla B., Jachimowska K., Kudra B.: </w:t>
            </w:r>
            <w:r>
              <w:rPr>
                <w:rFonts w:eastAsia="Calibri"/>
                <w:i/>
                <w:iCs/>
                <w:lang w:eastAsia="en-US"/>
              </w:rPr>
              <w:t>Kreatywność językowa w reklamie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Uniwersytetu Łódzkiego, Łódź 2016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2. Duhigg C.: </w:t>
            </w:r>
            <w:r>
              <w:rPr>
                <w:rFonts w:eastAsia="Calibri"/>
                <w:i/>
                <w:iCs/>
                <w:lang w:eastAsia="en-US"/>
              </w:rPr>
              <w:t>Mądrzej, szybciej, lepiej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Naukowe PWN SA, Warszawa 2016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3. Clear J.: </w:t>
            </w:r>
            <w:r>
              <w:rPr>
                <w:rFonts w:eastAsia="Calibri"/>
                <w:i/>
                <w:iCs/>
                <w:lang w:eastAsia="en-US"/>
              </w:rPr>
              <w:t>Atomowe nawyki. Drobne zmiany niezwykłe efekty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Galaktyka, Łódź 2019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4. Allen D.: </w:t>
            </w:r>
            <w:r>
              <w:rPr>
                <w:rFonts w:eastAsia="Calibri"/>
                <w:i/>
                <w:iCs/>
                <w:lang w:eastAsia="en-US"/>
              </w:rPr>
              <w:t>Getting things done, czyli sztuka bezstresowej efektywności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Helion, Gliwice 2019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75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1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Obecność oraz aktywne uczestniczenie w seminariach i twórcze wykorzystanie zdobytych umiejętności w praktyce złożą się na indywidualną ocenę studenta na koniec zajęć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obecność na wszystkich zajęciach lub usprawiedliwienie oraz nadrobienie nieobecności (w sposób określony przez wykładowcę) - zgodnie z Regulaminem studiów PUM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2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Application>LibreOffice/7.6.4.1$Windows_X86_64 LibreOffice_project/e19e193f88cd6c0525a17fb7a176ed8e6a3e2aa1</Application>
  <AppVersion>15.0000</AppVersion>
  <Pages>4</Pages>
  <Words>781</Words>
  <Characters>5072</Characters>
  <CharactersWithSpaces>5673</CharactersWithSpaces>
  <Paragraphs>200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2025-02-19T17:20:47Z</dcterms:modified>
  <cp:revision>12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